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76" w:rsidRPr="00B6761B" w:rsidRDefault="00FB4776" w:rsidP="00FB4776">
      <w:pPr>
        <w:spacing w:after="0" w:line="240" w:lineRule="auto"/>
        <w:ind w:left="-900" w:right="-1368" w:firstLine="900"/>
        <w:rPr>
          <w:rFonts w:ascii="Monotype Corsiva" w:eastAsia="Times New Roman" w:hAnsi="Monotype Corsiva" w:cs="Times New Roman"/>
          <w:b/>
          <w:sz w:val="14"/>
          <w:szCs w:val="24"/>
          <w:lang w:eastAsia="bg-BG"/>
        </w:rPr>
      </w:pPr>
    </w:p>
    <w:tbl>
      <w:tblPr>
        <w:tblStyle w:val="11"/>
        <w:tblpPr w:leftFromText="93" w:rightFromText="93" w:vertAnchor="text" w:horzAnchor="margin" w:tblpXSpec="center" w:tblpY="-121"/>
        <w:tblW w:w="103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351"/>
        <w:gridCol w:w="3748"/>
        <w:gridCol w:w="3969"/>
        <w:gridCol w:w="1282"/>
      </w:tblGrid>
      <w:tr w:rsidR="00FB4776" w:rsidRPr="00B6761B" w:rsidTr="002D34CC">
        <w:tc>
          <w:tcPr>
            <w:tcW w:w="891" w:type="dxa"/>
            <w:vMerge w:val="restart"/>
            <w:hideMark/>
          </w:tcPr>
          <w:p w:rsidR="00FB4776" w:rsidRPr="00B6761B" w:rsidRDefault="00FB4776" w:rsidP="002D34CC">
            <w:pPr>
              <w:rPr>
                <w:rFonts w:ascii="Calibri" w:eastAsia="Calibri" w:hAnsi="Calibri"/>
                <w:lang w:val="en-US"/>
              </w:rPr>
            </w:pPr>
            <w:r w:rsidRPr="00B6761B">
              <w:rPr>
                <w:noProof/>
                <w:lang w:eastAsia="bg-BG"/>
              </w:rPr>
              <w:drawing>
                <wp:anchor distT="0" distB="0" distL="114300" distR="114300" simplePos="0" relativeHeight="251667456" behindDoc="1" locked="0" layoutInCell="1" allowOverlap="1" wp14:anchorId="06B68353" wp14:editId="22D8C1AC">
                  <wp:simplePos x="0" y="0"/>
                  <wp:positionH relativeFrom="column">
                    <wp:posOffset>-160655</wp:posOffset>
                  </wp:positionH>
                  <wp:positionV relativeFrom="paragraph">
                    <wp:posOffset>72390</wp:posOffset>
                  </wp:positionV>
                  <wp:extent cx="882650" cy="1010285"/>
                  <wp:effectExtent l="0" t="0" r="0" b="0"/>
                  <wp:wrapNone/>
                  <wp:docPr id="7" name="Картина 7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4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0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73" w:type="dxa"/>
            <w:hideMark/>
          </w:tcPr>
          <w:p w:rsidR="00FB4776" w:rsidRPr="00B6761B" w:rsidRDefault="00FB4776" w:rsidP="002D34CC">
            <w:pPr>
              <w:rPr>
                <w:rFonts w:ascii="Calibri" w:eastAsia="Calibri" w:hAnsi="Calibri"/>
                <w:b/>
                <w:sz w:val="36"/>
                <w:szCs w:val="36"/>
                <w:lang w:val="en-US"/>
              </w:rPr>
            </w:pPr>
            <w:r w:rsidRPr="00B6761B">
              <w:rPr>
                <w:rFonts w:ascii="Calibri" w:eastAsia="Calibri" w:hAnsi="Calibri"/>
                <w:b/>
                <w:sz w:val="36"/>
                <w:szCs w:val="36"/>
                <w:lang w:val="en-US"/>
              </w:rPr>
              <w:t>ОБЩИНА РАЗЛОГ</w:t>
            </w:r>
          </w:p>
        </w:tc>
        <w:tc>
          <w:tcPr>
            <w:tcW w:w="3465" w:type="dxa"/>
            <w:gridSpan w:val="2"/>
            <w:hideMark/>
          </w:tcPr>
          <w:p w:rsidR="00FB4776" w:rsidRPr="00B6761B" w:rsidRDefault="00FB4776" w:rsidP="002D34CC">
            <w:pPr>
              <w:jc w:val="right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B6761B">
              <w:rPr>
                <w:rFonts w:ascii="Calibri" w:eastAsia="Calibri" w:hAnsi="Calibri"/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FB4776" w:rsidRPr="00B6761B" w:rsidTr="002D34CC">
        <w:trPr>
          <w:trHeight w:val="178"/>
        </w:trPr>
        <w:tc>
          <w:tcPr>
            <w:tcW w:w="891" w:type="dxa"/>
            <w:vMerge/>
            <w:vAlign w:val="center"/>
            <w:hideMark/>
          </w:tcPr>
          <w:p w:rsidR="00FB4776" w:rsidRPr="00B6761B" w:rsidRDefault="00FB4776" w:rsidP="002D34CC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5938" w:type="dxa"/>
            <w:gridSpan w:val="3"/>
            <w:hideMark/>
          </w:tcPr>
          <w:p w:rsidR="00FB4776" w:rsidRPr="00B6761B" w:rsidRDefault="00FB4776" w:rsidP="002D34CC">
            <w:pPr>
              <w:rPr>
                <w:rFonts w:ascii="Calibri" w:eastAsia="Calibri" w:hAnsi="Calibri"/>
                <w:lang w:val="en-US"/>
              </w:rPr>
            </w:pPr>
            <w:r w:rsidRPr="00B6761B">
              <w:rPr>
                <w:rFonts w:ascii="Times New Roman" w:eastAsia="Times New Roman" w:hAnsi="Times New Roman"/>
                <w:noProof/>
                <w:lang w:eastAsia="bg-BG"/>
              </w:rPr>
              <w:drawing>
                <wp:anchor distT="0" distB="0" distL="114300" distR="114300" simplePos="0" relativeHeight="251668480" behindDoc="1" locked="0" layoutInCell="1" allowOverlap="1" wp14:anchorId="708AB800" wp14:editId="14C1D402">
                  <wp:simplePos x="0" y="0"/>
                  <wp:positionH relativeFrom="column">
                    <wp:posOffset>-6985</wp:posOffset>
                  </wp:positionH>
                  <wp:positionV relativeFrom="page">
                    <wp:posOffset>-1905</wp:posOffset>
                  </wp:positionV>
                  <wp:extent cx="5578475" cy="142240"/>
                  <wp:effectExtent l="0" t="0" r="3175" b="0"/>
                  <wp:wrapNone/>
                  <wp:docPr id="8" name="Картина 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7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8475" cy="142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4776" w:rsidRPr="00B6761B" w:rsidTr="002D34CC">
        <w:tc>
          <w:tcPr>
            <w:tcW w:w="891" w:type="dxa"/>
            <w:vMerge/>
            <w:vAlign w:val="center"/>
            <w:hideMark/>
          </w:tcPr>
          <w:p w:rsidR="00FB4776" w:rsidRPr="00B6761B" w:rsidRDefault="00FB4776" w:rsidP="002D34CC">
            <w:pP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2473" w:type="dxa"/>
            <w:hideMark/>
          </w:tcPr>
          <w:p w:rsidR="00FB4776" w:rsidRPr="00B6761B" w:rsidRDefault="00FB4776" w:rsidP="002D34CC">
            <w:pPr>
              <w:spacing w:before="120"/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</w:pPr>
            <w:proofErr w:type="spellStart"/>
            <w:r w:rsidRPr="00B6761B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ул</w:t>
            </w:r>
            <w:proofErr w:type="spellEnd"/>
            <w:r w:rsidRPr="00B6761B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. „</w:t>
            </w:r>
            <w:proofErr w:type="spellStart"/>
            <w:r w:rsidRPr="00B6761B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Стефан</w:t>
            </w:r>
            <w:proofErr w:type="spellEnd"/>
            <w:r w:rsidRPr="00B6761B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6761B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Стамболов“</w:t>
            </w:r>
            <w:proofErr w:type="gramEnd"/>
            <w:r w:rsidRPr="00B6761B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 xml:space="preserve">1, 2760 </w:t>
            </w:r>
            <w:proofErr w:type="spellStart"/>
            <w:r w:rsidRPr="00B6761B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Разлог</w:t>
            </w:r>
            <w:proofErr w:type="spellEnd"/>
          </w:p>
          <w:p w:rsidR="00FB4776" w:rsidRPr="00B6761B" w:rsidRDefault="00FB4776" w:rsidP="002D34CC">
            <w:pPr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</w:pPr>
            <w:proofErr w:type="spellStart"/>
            <w:r w:rsidRPr="00B6761B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телефон</w:t>
            </w:r>
            <w:proofErr w:type="spellEnd"/>
            <w:r w:rsidRPr="00B6761B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: 0747 80 095</w:t>
            </w:r>
          </w:p>
          <w:p w:rsidR="00FB4776" w:rsidRPr="00B6761B" w:rsidRDefault="00FB4776" w:rsidP="002D34CC">
            <w:pPr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</w:pPr>
            <w:r w:rsidRPr="00B6761B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E-mail: kmet@razlog.bg</w:t>
            </w:r>
          </w:p>
          <w:p w:rsidR="00FB4776" w:rsidRPr="00B6761B" w:rsidRDefault="00FB4776" w:rsidP="002D34CC">
            <w:pPr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</w:pPr>
            <w:r w:rsidRPr="00B6761B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2619" w:type="dxa"/>
            <w:hideMark/>
          </w:tcPr>
          <w:p w:rsidR="00FB4776" w:rsidRPr="00B6761B" w:rsidRDefault="00FB4776" w:rsidP="002D34CC">
            <w:pPr>
              <w:spacing w:before="120"/>
              <w:jc w:val="right"/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</w:pPr>
            <w:r w:rsidRPr="00B6761B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B6761B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Stambolov</w:t>
            </w:r>
            <w:proofErr w:type="spellEnd"/>
            <w:r w:rsidRPr="00B6761B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 xml:space="preserve"> Str., 2760 </w:t>
            </w:r>
            <w:proofErr w:type="spellStart"/>
            <w:r w:rsidRPr="00B6761B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Razlog</w:t>
            </w:r>
            <w:proofErr w:type="spellEnd"/>
            <w:r w:rsidRPr="00B6761B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, Bulgaria</w:t>
            </w:r>
          </w:p>
          <w:p w:rsidR="00FB4776" w:rsidRPr="00B6761B" w:rsidRDefault="00FB4776" w:rsidP="002D34CC">
            <w:pPr>
              <w:jc w:val="right"/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</w:pPr>
            <w:r w:rsidRPr="00B6761B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 xml:space="preserve">Phone: +359 747 80 095  </w:t>
            </w:r>
          </w:p>
          <w:p w:rsidR="00FB4776" w:rsidRPr="00B6761B" w:rsidRDefault="00FB4776" w:rsidP="002D34CC">
            <w:pPr>
              <w:jc w:val="right"/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</w:pPr>
            <w:r w:rsidRPr="00B6761B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E-mail:  kmet@razlog.bg</w:t>
            </w:r>
          </w:p>
          <w:p w:rsidR="00FB4776" w:rsidRPr="00B6761B" w:rsidRDefault="00FB4776" w:rsidP="002D34CC">
            <w:pPr>
              <w:jc w:val="right"/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</w:pPr>
            <w:r w:rsidRPr="00B6761B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845" w:type="dxa"/>
            <w:hideMark/>
          </w:tcPr>
          <w:p w:rsidR="00FB4776" w:rsidRPr="00B6761B" w:rsidRDefault="00FB4776" w:rsidP="002D34CC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B676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anchor distT="0" distB="0" distL="114300" distR="114300" simplePos="0" relativeHeight="251669504" behindDoc="0" locked="0" layoutInCell="1" allowOverlap="1" wp14:anchorId="6AEF1BE1" wp14:editId="720D67B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9" name="Картина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B4776" w:rsidRPr="00B6761B" w:rsidRDefault="00FB4776" w:rsidP="00FB4776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8"/>
          <w:lang w:eastAsia="bg-BG"/>
        </w:rPr>
      </w:pPr>
    </w:p>
    <w:p w:rsidR="00FB4776" w:rsidRPr="00237E5D" w:rsidRDefault="00FB4776" w:rsidP="00FB47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7E5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ДО </w:t>
      </w:r>
    </w:p>
    <w:p w:rsidR="00FB4776" w:rsidRPr="00237E5D" w:rsidRDefault="00FB4776" w:rsidP="00FB477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7E5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ОБЩИНСКИ СЪВЕТ - РАЗЛОГ </w:t>
      </w:r>
    </w:p>
    <w:p w:rsidR="00FB4776" w:rsidRPr="00237E5D" w:rsidRDefault="00FB4776" w:rsidP="00FB4776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eastAsia="bg-BG"/>
        </w:rPr>
      </w:pPr>
    </w:p>
    <w:p w:rsidR="00FB4776" w:rsidRPr="00237E5D" w:rsidRDefault="00FB4776" w:rsidP="00FB4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7E5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 О К Л А Д </w:t>
      </w:r>
    </w:p>
    <w:p w:rsidR="00FB4776" w:rsidRPr="00237E5D" w:rsidRDefault="00FB4776" w:rsidP="00FB4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37E5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</w:t>
      </w:r>
    </w:p>
    <w:p w:rsidR="00FB4776" w:rsidRPr="00237E5D" w:rsidRDefault="00FB4776" w:rsidP="00FB4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ИНЖ. КРАСИМИР ИВАНОВ ГЕРЧЕВ – КМЕТ НА ОБЩИНА РАЗЛОГ</w:t>
      </w:r>
    </w:p>
    <w:p w:rsidR="00FB4776" w:rsidRPr="00237E5D" w:rsidRDefault="00FB4776" w:rsidP="00FB4776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bg-BG"/>
        </w:rPr>
      </w:pPr>
    </w:p>
    <w:p w:rsidR="00FB4776" w:rsidRPr="00237E5D" w:rsidRDefault="00FB4776" w:rsidP="00FB4776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7E5D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ОТНОСНО:</w:t>
      </w:r>
      <w:r w:rsidRPr="00237E5D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Провеждане на редовно заседание на Общото събрание на Асоциацията по ВиК на обособената територия, обслужвана от „ВиК“ ЕООД, гр.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Благоевград.</w:t>
      </w:r>
    </w:p>
    <w:p w:rsidR="00FB4776" w:rsidRPr="00237E5D" w:rsidRDefault="00FB4776" w:rsidP="00FB4776">
      <w:pPr>
        <w:spacing w:before="100" w:beforeAutospacing="1" w:after="100" w:afterAutospacing="1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237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УВАЖАЕМИ ГОСПОЖИ И ГОСПОДА ОБЩИНСКИ СЪВЕТНИЦИ, </w:t>
      </w:r>
    </w:p>
    <w:p w:rsidR="00FB4776" w:rsidRPr="00237E5D" w:rsidRDefault="00FB4776" w:rsidP="00FB4776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Във връзка с покана с Наш вх.№70.00-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769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от 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Георги Динев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Областен управител на област с административен център Благоевград и Председател на Асоциацията по ВиК на обособената територия, обслужвана от „ВиК“ ЕООД, </w:t>
      </w:r>
      <w:proofErr w:type="spellStart"/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гр.Благоевград</w:t>
      </w:r>
      <w:proofErr w:type="spellEnd"/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предстоящо редовно заседание на Общото събрание на Асоциацията по ВиК на обособената територия, обслужвана от „ВиК“ ЕООД, </w:t>
      </w:r>
      <w:proofErr w:type="spellStart"/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гр.Благоевград</w:t>
      </w:r>
      <w:proofErr w:type="spellEnd"/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което ще се проведе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</w:t>
      </w:r>
      <w:r w:rsidR="004F213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03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4F213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юни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202</w:t>
      </w:r>
      <w:r w:rsidR="004F213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год. /вторник</w:t>
      </w:r>
      <w:r w:rsidRPr="00237E5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/ от 11.00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 в Конферентната зала на Областна администрация Благоевград, ет.1 и на основание </w:t>
      </w:r>
      <w:bookmarkStart w:id="0" w:name="_GoBack"/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чл.21, ал.1, т.15 от ЗМСМА и чл.198е, ал.3 и ал.5 от Закона за водите,  </w:t>
      </w:r>
      <w:bookmarkEnd w:id="0"/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Общински съвет - гр.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Разлог да приеме следното </w:t>
      </w:r>
    </w:p>
    <w:p w:rsidR="00FB4776" w:rsidRPr="00237E5D" w:rsidRDefault="00FB4776" w:rsidP="00FB4776">
      <w:pPr>
        <w:spacing w:after="0" w:line="240" w:lineRule="auto"/>
        <w:ind w:left="-567" w:righ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237E5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 :</w:t>
      </w:r>
    </w:p>
    <w:p w:rsidR="00FB4776" w:rsidRPr="00237E5D" w:rsidRDefault="00FB4776" w:rsidP="00FB4776">
      <w:pPr>
        <w:spacing w:after="0" w:line="240" w:lineRule="auto"/>
        <w:ind w:left="-567" w:right="-567" w:firstLine="567"/>
        <w:jc w:val="center"/>
        <w:rPr>
          <w:rFonts w:ascii="Times New Roman" w:eastAsia="Times New Roman" w:hAnsi="Times New Roman" w:cs="Times New Roman"/>
          <w:sz w:val="12"/>
          <w:szCs w:val="28"/>
          <w:lang w:eastAsia="bg-BG"/>
        </w:rPr>
      </w:pPr>
    </w:p>
    <w:p w:rsidR="00FB4776" w:rsidRPr="00237E5D" w:rsidRDefault="00FB4776" w:rsidP="00FB4776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Дава съгласие Кмета на Община Разлог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7A0BBE">
        <w:rPr>
          <w:rFonts w:ascii="Times New Roman" w:hAnsi="Times New Roman" w:cs="Times New Roman"/>
          <w:sz w:val="28"/>
          <w:szCs w:val="28"/>
        </w:rPr>
        <w:t>/при невъзможност той да участва, Общински съвет гр.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BE">
        <w:rPr>
          <w:rFonts w:ascii="Times New Roman" w:hAnsi="Times New Roman" w:cs="Times New Roman"/>
          <w:sz w:val="28"/>
          <w:szCs w:val="28"/>
        </w:rPr>
        <w:t xml:space="preserve">Разлог определя </w:t>
      </w:r>
      <w:r>
        <w:rPr>
          <w:rFonts w:ascii="Times New Roman" w:hAnsi="Times New Roman" w:cs="Times New Roman"/>
          <w:sz w:val="28"/>
          <w:szCs w:val="28"/>
        </w:rPr>
        <w:t xml:space="preserve">Славчо Иванов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Фарфаров</w:t>
      </w:r>
      <w:proofErr w:type="spellEnd"/>
      <w:r w:rsidRPr="007A0BB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A0BBE">
        <w:rPr>
          <w:rFonts w:ascii="Times New Roman" w:hAnsi="Times New Roman" w:cs="Times New Roman"/>
          <w:sz w:val="28"/>
          <w:szCs w:val="28"/>
        </w:rPr>
        <w:t>Зам.кмет</w:t>
      </w:r>
      <w:proofErr w:type="spellEnd"/>
      <w:r w:rsidRPr="007A0BB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Устройство на територията, строителство и регионално развитие“ </w:t>
      </w:r>
      <w:r w:rsidRPr="007A0BBE">
        <w:rPr>
          <w:rFonts w:ascii="Times New Roman" w:hAnsi="Times New Roman" w:cs="Times New Roman"/>
          <w:sz w:val="28"/>
          <w:szCs w:val="28"/>
        </w:rPr>
        <w:t>на Община Разлог/</w:t>
      </w:r>
      <w:r>
        <w:rPr>
          <w:sz w:val="28"/>
          <w:szCs w:val="28"/>
        </w:rPr>
        <w:t xml:space="preserve"> 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участва в предстоящото редовно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заседание на 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Общото събрание на Асоциацията по ВиК на обособената територия, обслужвана от „ВиК“  ЕООД, </w:t>
      </w:r>
      <w:proofErr w:type="spellStart"/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гр.Благоевград</w:t>
      </w:r>
      <w:proofErr w:type="spellEnd"/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което ще се проведе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4F213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03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4F213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юни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202</w:t>
      </w:r>
      <w:r w:rsidR="004F213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год. /вторник</w:t>
      </w:r>
      <w:r w:rsidRPr="00237E5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/ от 11.00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Конферентната зала на Областна администрация Благоевград, ет.1 и 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гласува позицията на общината, 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„ЗА“, „ПРОТИВ“ или „ВЪЗДЪРЖАЛ СЕ“,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като на основание чл.14, ал.4 от Правилника за организацията и дейността на асоциациите по водоснабдяване и канализация, когато при провеждане на гласуване, някой от представителите на общините, членове на Асоциацията по ВиК е упълномощен от Общинския съвет да упражни право на глас с „ПРОТИВ“ или „ВЪЗДЪРЖАЛ СЕ“, следва да представи </w:t>
      </w:r>
      <w:r w:rsidRPr="0027710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писмено становище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77102">
        <w:rPr>
          <w:rFonts w:ascii="Times New Roman" w:eastAsia="Times New Roman" w:hAnsi="Times New Roman" w:cs="Times New Roman"/>
          <w:sz w:val="28"/>
          <w:szCs w:val="28"/>
          <w:lang w:eastAsia="bg-BG"/>
        </w:rPr>
        <w:t>за това решение, което се включва в протокола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, 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съгласно определения дневен ред, както следва:</w:t>
      </w:r>
    </w:p>
    <w:p w:rsidR="00FB4776" w:rsidRPr="00237E5D" w:rsidRDefault="00FB4776" w:rsidP="00FB4776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18"/>
          <w:szCs w:val="28"/>
          <w:lang w:eastAsia="bg-BG"/>
        </w:rPr>
      </w:pPr>
    </w:p>
    <w:p w:rsidR="00FB4776" w:rsidRPr="004F2135" w:rsidRDefault="00FB4776" w:rsidP="004F2135">
      <w:pPr>
        <w:pStyle w:val="a3"/>
        <w:numPr>
          <w:ilvl w:val="0"/>
          <w:numId w:val="3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Приемане на годишен отчет  за дейността на Асоциация по ВиК Благоевград през 202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FB4776" w:rsidRPr="004F2135" w:rsidRDefault="00FB4776" w:rsidP="004F2135">
      <w:pPr>
        <w:pStyle w:val="a3"/>
        <w:numPr>
          <w:ilvl w:val="0"/>
          <w:numId w:val="3"/>
        </w:num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Приемане на отчет за изпълнение на бюджета на Асоциация по ВиК Благоевград за 202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FB4776" w:rsidRPr="00237E5D" w:rsidRDefault="00FB4776" w:rsidP="004F2135">
      <w:pPr>
        <w:numPr>
          <w:ilvl w:val="0"/>
          <w:numId w:val="3"/>
        </w:numPr>
        <w:spacing w:after="0" w:line="240" w:lineRule="auto"/>
        <w:ind w:left="-567" w:righ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Приемане на бюджет на Асоц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иация по ВиК Благоевград за 202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FB4776" w:rsidRPr="00237E5D" w:rsidRDefault="00FB4776" w:rsidP="004F2135">
      <w:pPr>
        <w:numPr>
          <w:ilvl w:val="0"/>
          <w:numId w:val="3"/>
        </w:numPr>
        <w:spacing w:after="0" w:line="240" w:lineRule="auto"/>
        <w:ind w:left="-567" w:righ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Одобряване на Подробна инвестиционна програма на „Водоснабдяване и канализ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ация“ ЕООД – Благоевград за 202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FB4776" w:rsidRPr="00237E5D" w:rsidRDefault="00FB4776" w:rsidP="004F2135">
      <w:pPr>
        <w:numPr>
          <w:ilvl w:val="0"/>
          <w:numId w:val="3"/>
        </w:numPr>
        <w:spacing w:after="0" w:line="240" w:lineRule="auto"/>
        <w:ind w:left="-567" w:righ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Други.</w:t>
      </w:r>
    </w:p>
    <w:p w:rsidR="00FB4776" w:rsidRPr="00237E5D" w:rsidRDefault="00FB4776" w:rsidP="00FB4776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bg-BG"/>
        </w:rPr>
      </w:pPr>
    </w:p>
    <w:p w:rsidR="00FB4776" w:rsidRPr="00237E5D" w:rsidRDefault="00FB4776" w:rsidP="00FB4776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При липса на кворум за провеждане на заседанието, на основание чл.10, ал.5, т.6 от Правилника</w:t>
      </w:r>
      <w:r w:rsidRPr="00B828A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 организацията и дейността на асоциациите по водоснабдяване и канализация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определена резервна дата – </w:t>
      </w:r>
      <w:r w:rsidR="004F2135" w:rsidRPr="004F213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17</w:t>
      </w:r>
      <w:r w:rsidRPr="004F213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0</w:t>
      </w:r>
      <w:r w:rsidR="004F213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="004F213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</w:t>
      </w:r>
      <w:r w:rsidRPr="00237E5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г. /</w:t>
      </w:r>
      <w:r w:rsidR="004F213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вторник</w:t>
      </w:r>
      <w:r w:rsidRPr="00237E5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/ от 11.00 часа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 същия дневен ред. В този случай вече предоставените от члено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вете на Асоциацията по ВиК до 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г. мандати ще се считат за валидни.</w:t>
      </w:r>
    </w:p>
    <w:p w:rsidR="00FB4776" w:rsidRPr="00237E5D" w:rsidRDefault="00FB4776" w:rsidP="00FB4776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bg-BG"/>
        </w:rPr>
      </w:pPr>
    </w:p>
    <w:p w:rsidR="00FB4776" w:rsidRPr="00237E5D" w:rsidRDefault="00FB4776" w:rsidP="00FB4776">
      <w:pPr>
        <w:spacing w:after="12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Pr="00237E5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Мотиви: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Решението се прие на основание чл.21, ал.1, т.15 от ЗМСМА и чл.198е, ал.3 и ал.5 от Закона за водите;   Като взе предвид постъпила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Разлог Покана с вх.№70.00-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769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от 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Георги Динев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Областен управител на област с административен център Благоевград и Председател на Асоциацията по ВиК на обособената територия, обслужвана от „ВиК“ ЕООД, гр.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Благоевград; Като взе предвид, че съгласно чл.198е, ал.3 от Закона за водите Общински съвет определя кмета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7A0BBE">
        <w:rPr>
          <w:rFonts w:ascii="Times New Roman" w:hAnsi="Times New Roman" w:cs="Times New Roman"/>
          <w:sz w:val="28"/>
          <w:szCs w:val="28"/>
        </w:rPr>
        <w:t>/при невъзможност той да участва, Общински съвет гр.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BE">
        <w:rPr>
          <w:rFonts w:ascii="Times New Roman" w:hAnsi="Times New Roman" w:cs="Times New Roman"/>
          <w:sz w:val="28"/>
          <w:szCs w:val="28"/>
        </w:rPr>
        <w:t xml:space="preserve">Разлог определя </w:t>
      </w:r>
      <w:r>
        <w:rPr>
          <w:rFonts w:ascii="Times New Roman" w:hAnsi="Times New Roman" w:cs="Times New Roman"/>
          <w:sz w:val="28"/>
          <w:szCs w:val="28"/>
        </w:rPr>
        <w:t xml:space="preserve">Славчо Иванов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Фарфаров</w:t>
      </w:r>
      <w:proofErr w:type="spellEnd"/>
      <w:r w:rsidRPr="007A0BBE">
        <w:rPr>
          <w:rFonts w:ascii="Times New Roman" w:hAnsi="Times New Roman" w:cs="Times New Roman"/>
          <w:sz w:val="28"/>
          <w:szCs w:val="28"/>
        </w:rPr>
        <w:t xml:space="preserve"> – Зам.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BBE">
        <w:rPr>
          <w:rFonts w:ascii="Times New Roman" w:hAnsi="Times New Roman" w:cs="Times New Roman"/>
          <w:sz w:val="28"/>
          <w:szCs w:val="28"/>
        </w:rPr>
        <w:t xml:space="preserve">кмет по </w:t>
      </w:r>
      <w:r>
        <w:rPr>
          <w:rFonts w:ascii="Times New Roman" w:hAnsi="Times New Roman" w:cs="Times New Roman"/>
          <w:sz w:val="28"/>
          <w:szCs w:val="28"/>
        </w:rPr>
        <w:t xml:space="preserve">Устройство на територията, строителство и регионално развитие“ </w:t>
      </w:r>
      <w:r w:rsidRPr="007A0BBE">
        <w:rPr>
          <w:rFonts w:ascii="Times New Roman" w:hAnsi="Times New Roman" w:cs="Times New Roman"/>
          <w:sz w:val="28"/>
          <w:szCs w:val="28"/>
        </w:rPr>
        <w:t>на Община Разлог/</w:t>
      </w:r>
      <w:r>
        <w:rPr>
          <w:sz w:val="28"/>
          <w:szCs w:val="28"/>
        </w:rPr>
        <w:t xml:space="preserve"> 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предста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вител на общината в асоциацията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Като взе предвид, че позицията и мандатът на представителя на общината за заседанията на общото събрание на асоциацията по ВиК се съгласуват по ред, определен от общински съвет; </w:t>
      </w:r>
    </w:p>
    <w:p w:rsidR="00FB4776" w:rsidRPr="00237E5D" w:rsidRDefault="00FB4776" w:rsidP="00FB4776">
      <w:pPr>
        <w:spacing w:after="0" w:line="240" w:lineRule="auto"/>
        <w:ind w:left="-567" w:righ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237E5D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   </w:t>
      </w:r>
      <w:r w:rsidRPr="00237E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Приложение:</w:t>
      </w:r>
      <w:r w:rsidRPr="00237E5D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 </w:t>
      </w:r>
    </w:p>
    <w:p w:rsidR="00FB4776" w:rsidRPr="00237E5D" w:rsidRDefault="00FB4776" w:rsidP="00FB4776">
      <w:pPr>
        <w:spacing w:after="0" w:line="240" w:lineRule="auto"/>
        <w:ind w:left="-567" w:righ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1.Покана с вх.№70.00-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769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от 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Георги Динев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Областен управител на област с административен център Благоевград и Председател на Асоциацията по ВиК на обособената територия, обслужвана от „ВиК“ ЕООД, </w:t>
      </w:r>
      <w:proofErr w:type="spellStart"/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гр.Благоевград</w:t>
      </w:r>
      <w:proofErr w:type="spellEnd"/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</w:t>
      </w:r>
    </w:p>
    <w:p w:rsidR="00FB4776" w:rsidRPr="00237E5D" w:rsidRDefault="00FB4776" w:rsidP="00FB4776">
      <w:pPr>
        <w:spacing w:after="0" w:line="240" w:lineRule="auto"/>
        <w:ind w:left="-567" w:righ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2. Годишен отчет  за дейността на Асоциа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ция по ВиК Благоевград през 202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FB4776" w:rsidRPr="00237E5D" w:rsidRDefault="00FB4776" w:rsidP="00FB4776">
      <w:pPr>
        <w:spacing w:after="0" w:line="240" w:lineRule="auto"/>
        <w:ind w:left="-567" w:righ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3.Отчет за изпълнение на бюджета на Асоц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иация по ВиК Благоевград за 202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г и писмена обосновка към него.</w:t>
      </w:r>
    </w:p>
    <w:p w:rsidR="00FB4776" w:rsidRPr="00237E5D" w:rsidRDefault="00FB4776" w:rsidP="00FB4776">
      <w:pPr>
        <w:spacing w:after="0" w:line="240" w:lineRule="auto"/>
        <w:ind w:left="-567" w:righ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4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. Бюджет на Асоц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иация по ВиК Благоевград за 202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FB4776" w:rsidRDefault="00FB4776" w:rsidP="00FB4776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. Подробна инвестиционна програма на „Водоснабдяване и канализ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ация“ ЕООД – Благоевград за 202</w:t>
      </w:r>
      <w:r w:rsidR="004F2135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237E5D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FB4776" w:rsidRDefault="00FB4776" w:rsidP="00FB4776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B4776" w:rsidRDefault="00FB4776" w:rsidP="00FB4776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B4776" w:rsidRPr="00237E5D" w:rsidRDefault="00FB4776" w:rsidP="00FB4776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B4776" w:rsidRPr="00237E5D" w:rsidRDefault="00FB4776" w:rsidP="00FB4776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sz w:val="14"/>
          <w:szCs w:val="28"/>
          <w:lang w:eastAsia="bg-BG"/>
        </w:rPr>
      </w:pPr>
    </w:p>
    <w:p w:rsidR="00FB4776" w:rsidRPr="00D86DB0" w:rsidRDefault="00FB4776" w:rsidP="00FB4776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D86DB0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С уважение ,</w:t>
      </w:r>
    </w:p>
    <w:p w:rsidR="00FB4776" w:rsidRPr="00D86DB0" w:rsidRDefault="00FB4776" w:rsidP="00FB4776">
      <w:pPr>
        <w:spacing w:after="0" w:line="240" w:lineRule="auto"/>
        <w:ind w:right="-69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</w:p>
    <w:p w:rsidR="00FB4776" w:rsidRPr="00D86DB0" w:rsidRDefault="00FB4776" w:rsidP="00FB4776">
      <w:pPr>
        <w:spacing w:after="0" w:line="240" w:lineRule="auto"/>
        <w:ind w:right="-694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D86DB0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Инж. Красимир Герчев </w:t>
      </w:r>
    </w:p>
    <w:p w:rsidR="00FB4776" w:rsidRPr="00D86DB0" w:rsidRDefault="00FB4776" w:rsidP="00FB4776">
      <w:pPr>
        <w:spacing w:after="0" w:line="240" w:lineRule="auto"/>
        <w:ind w:right="-694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D86DB0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Кмет на Община Разлог </w:t>
      </w:r>
    </w:p>
    <w:p w:rsidR="00FB4776" w:rsidRPr="00D86DB0" w:rsidRDefault="00FB4776" w:rsidP="00FB4776">
      <w:pPr>
        <w:spacing w:after="0" w:line="240" w:lineRule="auto"/>
        <w:ind w:right="-694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FB4776" w:rsidRPr="00D86DB0" w:rsidRDefault="00FB4776" w:rsidP="00FB4776">
      <w:pPr>
        <w:spacing w:after="120" w:line="240" w:lineRule="auto"/>
        <w:ind w:right="-694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D86DB0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Изготвил:</w:t>
      </w:r>
    </w:p>
    <w:p w:rsidR="00FB4776" w:rsidRPr="00237E5D" w:rsidRDefault="00FB4776" w:rsidP="00FB4776">
      <w:pPr>
        <w:spacing w:after="120" w:line="240" w:lineRule="auto"/>
        <w:ind w:right="-694"/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</w:pPr>
      <w:r w:rsidRPr="00237E5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Елена </w:t>
      </w:r>
      <w:proofErr w:type="spellStart"/>
      <w:r w:rsidRPr="00237E5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Тумбева</w:t>
      </w:r>
      <w:proofErr w:type="spellEnd"/>
      <w:r w:rsidRPr="00237E5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 xml:space="preserve"> -  </w:t>
      </w:r>
      <w:proofErr w:type="spellStart"/>
      <w:r w:rsidRPr="00237E5D">
        <w:rPr>
          <w:rFonts w:ascii="Times New Roman" w:eastAsia="Times New Roman" w:hAnsi="Times New Roman" w:cs="Times New Roman"/>
          <w:b/>
          <w:i/>
          <w:sz w:val="28"/>
          <w:szCs w:val="28"/>
          <w:lang w:eastAsia="bg-BG"/>
        </w:rPr>
        <w:t>гл.юрисконсулт</w:t>
      </w:r>
      <w:proofErr w:type="spellEnd"/>
    </w:p>
    <w:p w:rsidR="00FB4776" w:rsidRDefault="00FB4776" w:rsidP="00FB4776"/>
    <w:p w:rsidR="00344B25" w:rsidRPr="004F2135" w:rsidRDefault="00344B25" w:rsidP="00344B25"/>
    <w:p w:rsidR="00344B25" w:rsidRDefault="00344B25"/>
    <w:sectPr w:rsidR="00344B25" w:rsidSect="00B6761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4840"/>
    <w:multiLevelType w:val="hybridMultilevel"/>
    <w:tmpl w:val="1A3AA410"/>
    <w:lvl w:ilvl="0" w:tplc="F9B67EC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5AB93123"/>
    <w:multiLevelType w:val="hybridMultilevel"/>
    <w:tmpl w:val="150E0D9A"/>
    <w:lvl w:ilvl="0" w:tplc="2626C3D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6E4057E2"/>
    <w:multiLevelType w:val="hybridMultilevel"/>
    <w:tmpl w:val="6D26BCE0"/>
    <w:lvl w:ilvl="0" w:tplc="53B80A7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2E"/>
    <w:rsid w:val="00086B1E"/>
    <w:rsid w:val="000D46D2"/>
    <w:rsid w:val="000E17A6"/>
    <w:rsid w:val="00124FEB"/>
    <w:rsid w:val="001D2218"/>
    <w:rsid w:val="00237E5D"/>
    <w:rsid w:val="00277102"/>
    <w:rsid w:val="0031562E"/>
    <w:rsid w:val="00344B25"/>
    <w:rsid w:val="00344CA9"/>
    <w:rsid w:val="00353CA8"/>
    <w:rsid w:val="0039252E"/>
    <w:rsid w:val="00442FDE"/>
    <w:rsid w:val="004D164C"/>
    <w:rsid w:val="004F2135"/>
    <w:rsid w:val="005B7CEF"/>
    <w:rsid w:val="005F26EA"/>
    <w:rsid w:val="006C0EE8"/>
    <w:rsid w:val="006C3F4F"/>
    <w:rsid w:val="007A0BBE"/>
    <w:rsid w:val="00892D0B"/>
    <w:rsid w:val="0093408E"/>
    <w:rsid w:val="00B61F16"/>
    <w:rsid w:val="00B6761B"/>
    <w:rsid w:val="00B828A9"/>
    <w:rsid w:val="00CF22C7"/>
    <w:rsid w:val="00D66F91"/>
    <w:rsid w:val="00D86DB0"/>
    <w:rsid w:val="00F21A23"/>
    <w:rsid w:val="00F5508E"/>
    <w:rsid w:val="00F71E23"/>
    <w:rsid w:val="00FB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8116F-DA6B-4B5A-B66B-279C8AB7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Мрежа в таблица11"/>
    <w:basedOn w:val="a1"/>
    <w:uiPriority w:val="39"/>
    <w:rsid w:val="00B676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344B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42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РУЖЕНА РАБАДЖИЕВА</dc:creator>
  <cp:keywords/>
  <dc:description/>
  <cp:lastModifiedBy>РУЖЕНА РАБАДЖИЕВА</cp:lastModifiedBy>
  <cp:revision>23</cp:revision>
  <cp:lastPrinted>2024-11-05T08:56:00Z</cp:lastPrinted>
  <dcterms:created xsi:type="dcterms:W3CDTF">2024-02-12T06:51:00Z</dcterms:created>
  <dcterms:modified xsi:type="dcterms:W3CDTF">2025-05-09T05:36:00Z</dcterms:modified>
</cp:coreProperties>
</file>